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PT Astra Serif" w:hAnsi="PT Astra Serif" w:cs="PT Astra Serif"/>
          <w:b/>
          <w:bCs/>
          <w:sz w:val="25"/>
          <w:szCs w:val="25"/>
        </w:rPr>
      </w:pP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Уведомление </w:t>
      </w:r>
      <w:r>
        <w:rPr>
          <w:rFonts w:ascii="PT Astra Serif" w:hAnsi="PT Astra Serif" w:cs="PT Astra Serif"/>
          <w:b/>
          <w:bCs/>
          <w:sz w:val="25"/>
          <w:szCs w:val="25"/>
        </w:rPr>
      </w:r>
    </w:p>
    <w:p>
      <w:pPr>
        <w:jc w:val="center"/>
        <w:rPr>
          <w:rFonts w:ascii="PT Astra Serif" w:hAnsi="PT Astra Serif" w:cs="PT Astra Serif"/>
          <w:b/>
          <w:bCs/>
          <w:sz w:val="25"/>
          <w:szCs w:val="25"/>
        </w:rPr>
      </w:pP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о проведении публичных консультаций посредством сбора замечаний </w:t>
      </w:r>
      <w:r>
        <w:rPr>
          <w:rFonts w:ascii="PT Astra Serif" w:hAnsi="PT Astra Serif" w:cs="PT Astra Serif"/>
          <w:b/>
          <w:bCs/>
          <w:sz w:val="25"/>
          <w:szCs w:val="25"/>
        </w:rPr>
      </w:r>
    </w:p>
    <w:p>
      <w:pPr>
        <w:jc w:val="center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и предложений организаций и граждан в рамках анализа проекта нормативного правового акта на предмет его влияния на конкуренцию</w:t>
      </w:r>
      <w:r>
        <w:rPr>
          <w:rFonts w:ascii="PT Astra Serif" w:hAnsi="PT Astra Serif" w:eastAsia="PT Astra Serif" w:cs="PT Astra Serif"/>
          <w:sz w:val="25"/>
          <w:szCs w:val="25"/>
        </w:rPr>
      </w:r>
    </w:p>
    <w:p>
      <w:pPr>
        <w:jc w:val="center"/>
        <w:rPr>
          <w:rFonts w:ascii="PT Astra Serif" w:hAnsi="PT Astra Serif" w:cs="PT Astra Serif"/>
          <w:b/>
          <w:bCs/>
          <w:sz w:val="25"/>
          <w:szCs w:val="25"/>
        </w:rPr>
      </w:pPr>
      <w:r>
        <w:rPr>
          <w:rFonts w:ascii="PT Astra Serif" w:hAnsi="PT Astra Serif" w:eastAsia="PT Astra Serif" w:cs="PT Astra Serif"/>
          <w:b/>
          <w:bCs/>
          <w:sz w:val="25"/>
          <w:szCs w:val="25"/>
        </w:rPr>
      </w:r>
      <w:r>
        <w:rPr>
          <w:rFonts w:ascii="PT Astra Serif" w:hAnsi="PT Astra Serif" w:cs="PT Astra Serif"/>
          <w:b/>
          <w:bCs/>
          <w:sz w:val="25"/>
          <w:szCs w:val="25"/>
        </w:rPr>
      </w:r>
    </w:p>
    <w:p>
      <w:pPr>
        <w:pStyle w:val="633"/>
        <w:jc w:val="both"/>
        <w:spacing w:after="0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ab/>
      </w:r>
      <w:r>
        <w:rPr>
          <w:rFonts w:ascii="PT Astra Serif" w:hAnsi="PT Astra Serif" w:eastAsia="PT Astra Serif" w:cs="PT Astra Serif"/>
          <w:sz w:val="25"/>
          <w:szCs w:val="25"/>
        </w:rPr>
        <w:t xml:space="preserve">Министерство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культуры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Белгородской области уведомляет о проведении публичных консультаций посредством сбора замечаний и предложений организаций и граждан </w:t>
      </w: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по </w:t>
      </w: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проекту </w:t>
      </w: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п</w:t>
      </w: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остановления </w:t>
      </w: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Правительства</w:t>
      </w: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 Белгородской области «</w:t>
      </w: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О внесении изменений в постановление Правительства Белгородской области от 11 мая </w:t>
      </w: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2021 </w:t>
      </w: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года № 164-пп</w:t>
      </w: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»,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подготовленн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ому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м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инистерство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м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культуры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Белгородской области, </w:t>
      </w:r>
      <w:r>
        <w:rPr>
          <w:rStyle w:val="631"/>
          <w:rFonts w:ascii="PT Astra Serif" w:hAnsi="PT Astra Serif" w:eastAsia="PT Astra Serif" w:cs="PT Astra Serif"/>
          <w:sz w:val="25"/>
          <w:szCs w:val="25"/>
        </w:rPr>
        <w:t xml:space="preserve">на </w:t>
      </w:r>
      <w:r>
        <w:rPr>
          <w:rStyle w:val="631"/>
          <w:rFonts w:ascii="PT Astra Serif" w:hAnsi="PT Astra Serif" w:eastAsia="PT Astra Serif" w:cs="PT Astra Serif"/>
          <w:sz w:val="25"/>
          <w:szCs w:val="25"/>
        </w:rPr>
        <w:t xml:space="preserve">предмет его влияния на конкуренцию.</w:t>
      </w:r>
      <w:r>
        <w:rPr>
          <w:rFonts w:ascii="PT Astra Serif" w:hAnsi="PT Astra Serif" w:eastAsia="PT Astra Serif" w:cs="PT Astra Serif"/>
          <w:sz w:val="25"/>
          <w:szCs w:val="25"/>
        </w:rPr>
      </w:r>
    </w:p>
    <w:p>
      <w:pPr>
        <w:pStyle w:val="633"/>
        <w:jc w:val="both"/>
        <w:spacing w:after="0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ab/>
        <w:t xml:space="preserve"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 влияния на конкуренцию.</w:t>
      </w:r>
      <w:r>
        <w:rPr>
          <w:rFonts w:ascii="PT Astra Serif" w:hAnsi="PT Astra Serif" w:eastAsia="PT Astra Serif" w:cs="PT Astra Serif"/>
          <w:sz w:val="25"/>
          <w:szCs w:val="25"/>
        </w:rPr>
      </w:r>
    </w:p>
    <w:p>
      <w:pPr>
        <w:pStyle w:val="633"/>
        <w:jc w:val="both"/>
        <w:spacing w:after="26"/>
        <w:rPr>
          <w:rFonts w:ascii="PT Astra Serif" w:hAnsi="PT Astra Serif" w:cs="PT Astra Serif"/>
          <w:color w:val="auto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ab/>
        <w:t xml:space="preserve">Замечания и предложения принимаются по адресу:</w:t>
      </w:r>
      <w:r>
        <w:rPr>
          <w:rFonts w:ascii="PT Astra Serif" w:hAnsi="PT Astra Serif" w:eastAsia="PT Astra Serif" w:cs="PT Astra Serif"/>
          <w:color w:val="auto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3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08005, г. Белгород, Гражданский 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пр-т, д. 41, а также </w:t>
      </w:r>
      <w:r>
        <w:rPr>
          <w:rFonts w:ascii="PT Astra Serif" w:hAnsi="PT Astra Serif" w:eastAsia="PT Astra Serif" w:cs="PT Astra Serif"/>
          <w:color w:val="auto"/>
          <w:sz w:val="25"/>
          <w:szCs w:val="25"/>
        </w:rPr>
        <w:t xml:space="preserve">по адресу электронной почты: </w:t>
      </w:r>
      <w:r>
        <w:rPr>
          <w:rFonts w:ascii="PT Astra Serif" w:hAnsi="PT Astra Serif" w:eastAsia="PT Astra Serif" w:cs="PT Astra Serif"/>
          <w:color w:val="auto"/>
          <w:sz w:val="25"/>
          <w:szCs w:val="25"/>
          <w:lang w:val="en-US"/>
        </w:rPr>
      </w:r>
      <w:r>
        <w:rPr>
          <w:rFonts w:ascii="PT Astra Serif" w:hAnsi="PT Astra Serif" w:eastAsia="PT Astra Serif" w:cs="PT Astra Serif"/>
          <w:color w:val="auto"/>
          <w:sz w:val="25"/>
          <w:szCs w:val="25"/>
          <w:lang w:val="en-US"/>
        </w:rPr>
        <w:t xml:space="preserve">mkbo@belgov.ru</w:t>
      </w:r>
      <w:r>
        <w:rPr>
          <w:rFonts w:ascii="PT Astra Serif" w:hAnsi="PT Astra Serif" w:eastAsia="PT Astra Serif" w:cs="PT Astra Serif"/>
          <w:color w:val="auto"/>
          <w:sz w:val="25"/>
          <w:szCs w:val="25"/>
          <w:lang w:val="en-US"/>
        </w:rPr>
      </w:r>
      <w:r>
        <w:rPr>
          <w:rFonts w:ascii="PT Astra Serif" w:hAnsi="PT Astra Serif" w:eastAsia="PT Astra Serif" w:cs="PT Astra Serif"/>
          <w:color w:val="auto"/>
          <w:sz w:val="25"/>
          <w:szCs w:val="25"/>
        </w:rPr>
        <w:t xml:space="preserve">.</w:t>
      </w:r>
      <w:r>
        <w:rPr>
          <w:rFonts w:ascii="PT Astra Serif" w:hAnsi="PT Astra Serif" w:cs="PT Astra Serif"/>
          <w:color w:val="auto"/>
          <w:sz w:val="25"/>
          <w:szCs w:val="25"/>
        </w:rPr>
      </w:r>
    </w:p>
    <w:p>
      <w:pPr>
        <w:pStyle w:val="633"/>
        <w:jc w:val="both"/>
        <w:spacing w:after="26"/>
        <w:rPr>
          <w:rFonts w:ascii="PT Astra Serif" w:hAnsi="PT Astra Serif" w:cs="PT Astra Serif"/>
          <w:color w:val="auto"/>
          <w:sz w:val="25"/>
          <w:szCs w:val="25"/>
        </w:rPr>
      </w:pPr>
      <w:r>
        <w:rPr>
          <w:rFonts w:ascii="PT Astra Serif" w:hAnsi="PT Astra Serif" w:eastAsia="PT Astra Serif" w:cs="PT Astra Serif"/>
          <w:color w:val="auto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color w:val="auto"/>
          <w:sz w:val="25"/>
          <w:szCs w:val="25"/>
        </w:rPr>
        <w:tab/>
        <w:t xml:space="preserve">Сроки приема предложений и замечаний</w:t>
      </w:r>
      <w:r>
        <w:rPr>
          <w:rFonts w:ascii="PT Astra Serif" w:hAnsi="PT Astra Serif" w:eastAsia="PT Astra Serif" w:cs="PT Astra Serif"/>
          <w:color w:val="auto"/>
          <w:sz w:val="25"/>
          <w:szCs w:val="25"/>
        </w:rPr>
        <w:t xml:space="preserve">: </w:t>
      </w:r>
      <w:r>
        <w:rPr>
          <w:rFonts w:ascii="PT Astra Serif" w:hAnsi="PT Astra Serif" w:eastAsia="PT Astra Serif" w:cs="PT Astra Serif"/>
          <w:color w:val="auto"/>
          <w:sz w:val="25"/>
          <w:szCs w:val="25"/>
        </w:rPr>
        <w:t xml:space="preserve">с </w:t>
      </w:r>
      <w:r>
        <w:rPr>
          <w:rFonts w:ascii="PT Astra Serif" w:hAnsi="PT Astra Serif" w:eastAsia="PT Astra Serif" w:cs="PT Astra Serif"/>
          <w:color w:val="auto"/>
          <w:sz w:val="25"/>
          <w:szCs w:val="25"/>
        </w:rPr>
        <w:t xml:space="preserve">10.03.2026 по 19.03.2026</w:t>
      </w:r>
      <w:r>
        <w:rPr>
          <w:rFonts w:ascii="PT Astra Serif" w:hAnsi="PT Astra Serif" w:eastAsia="PT Astra Serif" w:cs="PT Astra Serif"/>
          <w:color w:val="auto"/>
          <w:sz w:val="25"/>
          <w:szCs w:val="25"/>
        </w:rPr>
      </w:r>
      <w:bookmarkStart w:id="0" w:name="_GoBack"/>
      <w:r>
        <w:rPr>
          <w:rFonts w:ascii="PT Astra Serif" w:hAnsi="PT Astra Serif" w:eastAsia="PT Astra Serif" w:cs="PT Astra Serif"/>
          <w:sz w:val="25"/>
          <w:szCs w:val="25"/>
        </w:rPr>
      </w:r>
      <w:bookmarkEnd w:id="0"/>
      <w:r>
        <w:rPr>
          <w:rFonts w:ascii="PT Astra Serif" w:hAnsi="PT Astra Serif" w:eastAsia="PT Astra Serif" w:cs="PT Astra Serif"/>
          <w:color w:val="auto"/>
          <w:sz w:val="25"/>
          <w:szCs w:val="25"/>
        </w:rPr>
        <w:t xml:space="preserve">.</w:t>
      </w:r>
      <w:r>
        <w:rPr>
          <w:rFonts w:ascii="PT Astra Serif" w:hAnsi="PT Astra Serif" w:cs="PT Astra Serif"/>
          <w:color w:val="auto"/>
          <w:sz w:val="25"/>
          <w:szCs w:val="25"/>
        </w:rPr>
      </w:r>
    </w:p>
    <w:p>
      <w:pPr>
        <w:pStyle w:val="633"/>
        <w:jc w:val="both"/>
        <w:spacing w:after="0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color w:val="auto"/>
          <w:sz w:val="25"/>
          <w:szCs w:val="25"/>
        </w:rPr>
        <w:tab/>
        <w:t xml:space="preserve">С учетом анализа поступивших замечаний и предложений будет подготовлен сводный доклад о результатах анализа проектов нормативн</w:t>
      </w:r>
      <w:r>
        <w:rPr>
          <w:rFonts w:ascii="PT Astra Serif" w:hAnsi="PT Astra Serif" w:eastAsia="PT Astra Serif" w:cs="PT Astra Serif"/>
          <w:color w:val="auto"/>
          <w:sz w:val="25"/>
          <w:szCs w:val="25"/>
        </w:rPr>
        <w:t xml:space="preserve">ых правовых актов Губернатора и </w:t>
      </w:r>
      <w:r>
        <w:rPr>
          <w:rFonts w:ascii="PT Astra Serif" w:hAnsi="PT Astra Serif" w:eastAsia="PT Astra Serif" w:cs="PT Astra Serif"/>
          <w:color w:val="auto"/>
          <w:sz w:val="25"/>
          <w:szCs w:val="25"/>
        </w:rPr>
        <w:t xml:space="preserve">Правительства Белгородской области, подготовленных </w:t>
      </w:r>
      <w:r>
        <w:rPr>
          <w:rFonts w:ascii="PT Astra Serif" w:hAnsi="PT Astra Serif" w:eastAsia="PT Astra Serif" w:cs="PT Astra Serif"/>
          <w:color w:val="auto"/>
          <w:sz w:val="25"/>
          <w:szCs w:val="25"/>
        </w:rPr>
        <w:t xml:space="preserve">министерством</w:t>
      </w:r>
      <w:r>
        <w:rPr>
          <w:rFonts w:ascii="PT Astra Serif" w:hAnsi="PT Astra Serif" w:eastAsia="PT Astra Serif" w:cs="PT Astra Serif"/>
          <w:color w:val="auto"/>
          <w:sz w:val="25"/>
          <w:szCs w:val="25"/>
        </w:rPr>
        <w:t xml:space="preserve"> культуры</w:t>
      </w:r>
      <w:r>
        <w:rPr>
          <w:rFonts w:ascii="PT Astra Serif" w:hAnsi="PT Astra Serif" w:eastAsia="PT Astra Serif" w:cs="PT Astra Serif"/>
          <w:color w:val="auto"/>
          <w:sz w:val="25"/>
          <w:szCs w:val="25"/>
        </w:rPr>
        <w:t xml:space="preserve"> Белгородской области, на предмет выявления </w:t>
      </w:r>
      <w:r>
        <w:rPr>
          <w:rFonts w:ascii="PT Astra Serif" w:hAnsi="PT Astra Serif" w:eastAsia="PT Astra Serif" w:cs="PT Astra Serif"/>
          <w:color w:val="auto"/>
          <w:sz w:val="25"/>
          <w:szCs w:val="25"/>
        </w:rPr>
        <w:t xml:space="preserve">рисков нарушения антимонопольного законодательства, который до 10.02.2027</w:t>
      </w:r>
      <w:r>
        <w:rPr>
          <w:rFonts w:ascii="PT Astra Serif" w:hAnsi="PT Astra Serif" w:eastAsia="PT Astra Serif" w:cs="PT Astra Serif"/>
          <w:color w:val="auto"/>
          <w:sz w:val="25"/>
          <w:szCs w:val="25"/>
        </w:rPr>
        <w:t xml:space="preserve"> года </w:t>
      </w:r>
      <w:r>
        <w:rPr>
          <w:rFonts w:ascii="PT Astra Serif" w:hAnsi="PT Astra Serif" w:eastAsia="PT Astra Serif" w:cs="PT Astra Serif"/>
          <w:color w:val="auto"/>
          <w:sz w:val="25"/>
          <w:szCs w:val="25"/>
        </w:rPr>
        <w:t xml:space="preserve">в составе ежегодного доклада об </w:t>
      </w:r>
      <w:r>
        <w:rPr>
          <w:rFonts w:ascii="PT Astra Serif" w:hAnsi="PT Astra Serif" w:eastAsia="PT Astra Serif" w:cs="PT Astra Serif"/>
          <w:color w:val="auto"/>
          <w:sz w:val="25"/>
          <w:szCs w:val="25"/>
        </w:rPr>
        <w:t xml:space="preserve">антимонопольном </w:t>
      </w:r>
      <w:r>
        <w:rPr>
          <w:rFonts w:ascii="PT Astra Serif" w:hAnsi="PT Astra Serif" w:eastAsia="PT Astra Serif" w:cs="PT Astra Serif"/>
          <w:color w:val="auto"/>
          <w:sz w:val="25"/>
          <w:szCs w:val="25"/>
        </w:rPr>
        <w:t xml:space="preserve">комплаенсе</w:t>
      </w:r>
      <w:r>
        <w:rPr>
          <w:rFonts w:ascii="PT Astra Serif" w:hAnsi="PT Astra Serif" w:eastAsia="PT Astra Serif" w:cs="PT Astra Serif"/>
          <w:color w:val="auto"/>
          <w:sz w:val="25"/>
          <w:szCs w:val="25"/>
        </w:rPr>
        <w:t xml:space="preserve"> будет размещен на официальном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сайте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министерств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а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культуры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Белгородской области в разделе «Антимонопольный комплаенс».</w:t>
      </w:r>
      <w:r>
        <w:rPr>
          <w:rFonts w:ascii="PT Astra Serif" w:hAnsi="PT Astra Serif" w:eastAsia="PT Astra Serif" w:cs="PT Astra Serif"/>
          <w:sz w:val="25"/>
          <w:szCs w:val="25"/>
        </w:rPr>
      </w:r>
    </w:p>
    <w:p>
      <w:pPr>
        <w:pStyle w:val="633"/>
        <w:ind w:firstLine="709"/>
        <w:jc w:val="both"/>
        <w:spacing w:after="0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К уведомлению прилагаются:</w:t>
      </w:r>
      <w:r>
        <w:rPr>
          <w:rFonts w:ascii="PT Astra Serif" w:hAnsi="PT Astra Serif" w:eastAsia="PT Astra Serif" w:cs="PT Astra Serif"/>
          <w:sz w:val="25"/>
          <w:szCs w:val="25"/>
        </w:rPr>
      </w:r>
    </w:p>
    <w:p>
      <w:pPr>
        <w:pStyle w:val="633"/>
        <w:ind w:firstLine="709"/>
        <w:jc w:val="both"/>
        <w:spacing w:after="0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1. Анкета участника публичных консультаций в формате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word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.</w:t>
      </w:r>
      <w:r>
        <w:rPr>
          <w:rFonts w:ascii="PT Astra Serif" w:hAnsi="PT Astra Serif" w:eastAsia="PT Astra Serif" w:cs="PT Astra Serif"/>
          <w:sz w:val="25"/>
          <w:szCs w:val="25"/>
        </w:rPr>
      </w:r>
    </w:p>
    <w:p>
      <w:pPr>
        <w:pStyle w:val="633"/>
        <w:ind w:firstLine="709"/>
        <w:jc w:val="both"/>
        <w:spacing w:after="0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2. Текст проекта нормативного правового акта в формате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word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.</w:t>
      </w:r>
      <w:r>
        <w:rPr>
          <w:rFonts w:ascii="PT Astra Serif" w:hAnsi="PT Astra Serif" w:eastAsia="PT Astra Serif" w:cs="PT Astra Serif"/>
          <w:sz w:val="25"/>
          <w:szCs w:val="25"/>
        </w:rPr>
      </w:r>
    </w:p>
    <w:p>
      <w:pPr>
        <w:pStyle w:val="633"/>
        <w:ind w:firstLine="709"/>
        <w:jc w:val="both"/>
        <w:spacing w:after="0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3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.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 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Обоснование необходимости реализации предлагаемых решений посредством принятия нормативного правового акта, в том числе их влияние на конкуренцию, в формате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word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.</w:t>
      </w:r>
      <w:r>
        <w:rPr>
          <w:rFonts w:ascii="PT Astra Serif" w:hAnsi="PT Astra Serif" w:eastAsia="PT Astra Serif" w:cs="PT Astra Serif"/>
          <w:sz w:val="25"/>
          <w:szCs w:val="25"/>
        </w:rPr>
      </w:r>
    </w:p>
    <w:p>
      <w:pPr>
        <w:pStyle w:val="633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ab/>
      </w:r>
      <w:r>
        <w:rPr>
          <w:rFonts w:ascii="PT Astra Serif" w:hAnsi="PT Astra Serif" w:eastAsia="PT Astra Serif" w:cs="PT Astra Serif"/>
          <w:sz w:val="25"/>
          <w:szCs w:val="25"/>
        </w:rPr>
        <w:t xml:space="preserve">Место размещения приложений в информационно-телекоммуникационной сети «Интернет» - официальный сайт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министерства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культуры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Белгородской области, раздел «Антимонопольный комплаенс»: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https://kult.belregion.ru/deyatelnost/antimonopolnyj-komplaens/</w:t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633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ab/>
      </w:r>
      <w:r>
        <w:rPr>
          <w:rFonts w:ascii="PT Astra Serif" w:hAnsi="PT Astra Serif" w:eastAsia="PT Astra Serif" w:cs="PT Astra Serif"/>
          <w:sz w:val="25"/>
          <w:szCs w:val="25"/>
        </w:rPr>
        <w:t xml:space="preserve">Контактное лицо: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начальник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отдела правового, социально-экономического обеспечения и развития отрасли министерства культуры Белгородской области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Воронкина Екатерина Игоревна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, телефон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7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3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-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2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9-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74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.</w:t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633"/>
        <w:jc w:val="both"/>
        <w:rPr>
          <w:rFonts w:ascii="PT Astra Serif" w:hAnsi="PT Astra Serif" w:cs="PT Astra Serif"/>
          <w:b/>
          <w:sz w:val="25"/>
          <w:szCs w:val="25"/>
        </w:rPr>
      </w:pPr>
      <w:r>
        <w:rPr>
          <w:rFonts w:ascii="PT Astra Serif" w:hAnsi="PT Astra Serif" w:eastAsia="PT Astra Serif" w:cs="PT Astra Serif"/>
          <w:b/>
          <w:sz w:val="25"/>
          <w:szCs w:val="25"/>
        </w:rPr>
        <w:t xml:space="preserve">Режим работы: с 9-00 до 18-00, перерыв с 13-00 до 14-00</w:t>
      </w:r>
      <w:r>
        <w:rPr>
          <w:rFonts w:ascii="PT Astra Serif" w:hAnsi="PT Astra Serif" w:cs="PT Astra Serif"/>
          <w:b/>
          <w:sz w:val="25"/>
          <w:szCs w:val="25"/>
        </w:rPr>
      </w:r>
    </w:p>
    <w:p>
      <w:pPr>
        <w:pStyle w:val="633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</w:r>
      <w:r>
        <w:rPr>
          <w:rFonts w:ascii="PT Astra Serif" w:hAnsi="PT Astra Serif" w:eastAsia="PT Astra Serif" w:cs="PT Astra Serif"/>
          <w:sz w:val="25"/>
          <w:szCs w:val="25"/>
        </w:rPr>
      </w:r>
    </w:p>
    <w:sectPr>
      <w:footnotePr/>
      <w:endnotePr/>
      <w:type w:val="nextPage"/>
      <w:pgSz w:w="11906" w:h="16838" w:orient="portrait"/>
      <w:pgMar w:top="851" w:right="990" w:bottom="1440" w:left="1276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Arial Unicode MS">
    <w:panose1 w:val="020B0604020202020204"/>
  </w:font>
  <w:font w:name="Liberation Sans">
    <w:panose1 w:val="020B060402020202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1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1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1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1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1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1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1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1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1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19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19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19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19"/>
    <w:link w:val="45"/>
    <w:uiPriority w:val="99"/>
  </w:style>
  <w:style w:type="character" w:styleId="48">
    <w:name w:val="Caption Char"/>
    <w:basedOn w:val="619"/>
    <w:link w:val="635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2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character" w:styleId="177">
    <w:name w:val="Footnote Text Char"/>
    <w:link w:val="640"/>
    <w:uiPriority w:val="99"/>
    <w:rPr>
      <w:sz w:val="18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19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619" w:default="1">
    <w:name w:val="Default Paragraph Font"/>
    <w:uiPriority w:val="1"/>
    <w:semiHidden/>
    <w:unhideWhenUsed/>
  </w:style>
  <w:style w:type="table" w:styleId="6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1" w:default="1">
    <w:name w:val="No List"/>
    <w:uiPriority w:val="99"/>
    <w:semiHidden/>
    <w:unhideWhenUsed/>
  </w:style>
  <w:style w:type="character" w:styleId="622" w:customStyle="1">
    <w:name w:val="Font Style11"/>
    <w:basedOn w:val="619"/>
    <w:uiPriority w:val="99"/>
    <w:qFormat/>
    <w:rPr>
      <w:rFonts w:ascii="Times New Roman" w:hAnsi="Times New Roman" w:cs="Times New Roman"/>
      <w:sz w:val="20"/>
      <w:szCs w:val="20"/>
    </w:rPr>
  </w:style>
  <w:style w:type="character" w:styleId="623" w:customStyle="1">
    <w:name w:val="Font Style12"/>
    <w:basedOn w:val="619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624" w:customStyle="1">
    <w:name w:val="Интернет-ссылка"/>
    <w:basedOn w:val="619"/>
    <w:uiPriority w:val="99"/>
    <w:rPr>
      <w:color w:val="0066cc"/>
      <w:u w:val="single"/>
    </w:rPr>
  </w:style>
  <w:style w:type="character" w:styleId="625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626" w:customStyle="1">
    <w:name w:val="Текст сноски Знак"/>
    <w:basedOn w:val="619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627" w:customStyle="1">
    <w:name w:val="Символ сноски"/>
    <w:qFormat/>
  </w:style>
  <w:style w:type="character" w:styleId="628" w:customStyle="1">
    <w:name w:val="Привязка сноски"/>
    <w:rPr>
      <w:vertAlign w:val="superscript"/>
    </w:rPr>
  </w:style>
  <w:style w:type="character" w:styleId="629" w:customStyle="1">
    <w:name w:val="Привязка концевой сноски"/>
    <w:rPr>
      <w:vertAlign w:val="superscript"/>
    </w:rPr>
  </w:style>
  <w:style w:type="character" w:styleId="630" w:customStyle="1">
    <w:name w:val="Символы концевой сноски"/>
    <w:qFormat/>
  </w:style>
  <w:style w:type="character" w:styleId="631" w:customStyle="1">
    <w:name w:val="Выделение жирным"/>
    <w:qFormat/>
    <w:rPr>
      <w:b/>
      <w:bCs/>
    </w:rPr>
  </w:style>
  <w:style w:type="paragraph" w:styleId="632" w:customStyle="1">
    <w:name w:val="Заголовок1"/>
    <w:basedOn w:val="618"/>
    <w:next w:val="633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633">
    <w:name w:val="Body Text"/>
    <w:basedOn w:val="618"/>
    <w:pPr>
      <w:spacing w:after="140" w:line="288" w:lineRule="auto"/>
    </w:pPr>
  </w:style>
  <w:style w:type="paragraph" w:styleId="634">
    <w:name w:val="List"/>
    <w:basedOn w:val="633"/>
  </w:style>
  <w:style w:type="paragraph" w:styleId="635">
    <w:name w:val="Caption"/>
    <w:basedOn w:val="618"/>
    <w:qFormat/>
    <w:pPr>
      <w:spacing w:before="120" w:after="120"/>
      <w:suppressLineNumbers/>
    </w:pPr>
    <w:rPr>
      <w:i/>
      <w:iCs/>
    </w:rPr>
  </w:style>
  <w:style w:type="paragraph" w:styleId="636">
    <w:name w:val="index heading"/>
    <w:basedOn w:val="618"/>
    <w:qFormat/>
    <w:pPr>
      <w:suppressLineNumbers/>
    </w:pPr>
  </w:style>
  <w:style w:type="paragraph" w:styleId="637" w:customStyle="1">
    <w:name w:val="Style1"/>
    <w:basedOn w:val="618"/>
    <w:uiPriority w:val="99"/>
    <w:qFormat/>
  </w:style>
  <w:style w:type="paragraph" w:styleId="638" w:customStyle="1">
    <w:name w:val="Style2"/>
    <w:basedOn w:val="618"/>
    <w:uiPriority w:val="99"/>
    <w:qFormat/>
    <w:pPr>
      <w:ind w:firstLine="312"/>
      <w:jc w:val="both"/>
      <w:spacing w:line="246" w:lineRule="exact"/>
    </w:pPr>
  </w:style>
  <w:style w:type="paragraph" w:styleId="639" w:customStyle="1">
    <w:name w:val="Style3"/>
    <w:basedOn w:val="618"/>
    <w:uiPriority w:val="99"/>
    <w:qFormat/>
    <w:pPr>
      <w:ind w:firstLine="312"/>
      <w:jc w:val="both"/>
      <w:spacing w:line="254" w:lineRule="exact"/>
    </w:pPr>
  </w:style>
  <w:style w:type="paragraph" w:styleId="640">
    <w:name w:val="footnote text"/>
    <w:basedOn w:val="618"/>
  </w:style>
  <w:style w:type="paragraph" w:styleId="641">
    <w:name w:val="List Paragraph"/>
    <w:basedOn w:val="618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voronkina</cp:lastModifiedBy>
  <cp:revision>64</cp:revision>
  <dcterms:created xsi:type="dcterms:W3CDTF">2020-03-04T09:45:00Z</dcterms:created>
  <dcterms:modified xsi:type="dcterms:W3CDTF">2026-03-06T09:20:16Z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